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-386714</wp:posOffset>
            </wp:positionH>
            <wp:positionV relativeFrom="paragraph">
              <wp:posOffset>-862327</wp:posOffset>
            </wp:positionV>
            <wp:extent cx="2428875" cy="2343150"/>
            <wp:effectExtent b="0" l="0" r="0" t="0"/>
            <wp:wrapNone/>
            <wp:docPr descr="C:\Users\User.ZALIVKA\Downloads\Демография_лого_цвет_лев.png" id="5" name="image6.png"/>
            <a:graphic>
              <a:graphicData uri="http://schemas.openxmlformats.org/drawingml/2006/picture">
                <pic:pic>
                  <pic:nvPicPr>
                    <pic:cNvPr descr="C:\Users\User.ZALIVKA\Downloads\Демография_лого_цвет_лев.png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343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Ты - то, что ты ешь: 1 июля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будет запущена платформа по популяризации здорового питания и профилактике детского ожирения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c000"/>
          <w:sz w:val="24"/>
          <w:szCs w:val="24"/>
        </w:rPr>
        <mc:AlternateContent>
          <mc:Choice Requires="wpg">
            <w:drawing>
              <wp:inline distB="0" distT="0" distL="0" distR="0">
                <wp:extent cx="6313805" cy="666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9075" y="3740100"/>
                          <a:ext cx="6313805" cy="66675"/>
                          <a:chOff x="2189075" y="3740100"/>
                          <a:chExt cx="6313850" cy="70200"/>
                        </a:xfrm>
                      </wpg:grpSpPr>
                      <wpg:grpSp>
                        <wpg:cNvGrpSpPr/>
                        <wpg:grpSpPr>
                          <a:xfrm>
                            <a:off x="2189098" y="3746663"/>
                            <a:ext cx="6313805" cy="63621"/>
                            <a:chOff x="0" y="0"/>
                            <a:chExt cx="60529" cy="1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0529" cy="0"/>
                            </a:xfrm>
                            <a:custGeom>
                              <a:rect b="b" l="l" r="r" t="t"/>
                              <a:pathLst>
                                <a:path extrusionOk="0" h="120000" w="6052934">
                                  <a:moveTo>
                                    <a:pt x="0" y="0"/>
                                  </a:moveTo>
                                  <a:lnTo>
                                    <a:pt x="60529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125">
                              <a:solidFill>
                                <a:srgbClr val="00AECD"/>
                              </a:solidFill>
                              <a:prstDash val="solid"/>
                              <a:miter lim="127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13805" cy="6667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3805" cy="66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Ожирение называют неинфекционной пандемией 21 века. Ключевой фактор риска, который провоцирует ожирение, – это безответственное отношение к рациону питания.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Возрастная структура ожирения сегодня имеет тенденцию к омоложению. Часто ожирение выявляют у детей 15-17 лет — по данным Минздрава России ежегодно число впервые выявленных случаев растет. По словам педиатров, дети с ожирением чаще испытывают беспокойство, депрессию, имеют низкую самооценку.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«Вес современного школьника растёт. А ожирение – не просто дефект внешности, а платформа для развития опасных заболеваний: артериальной гипертонии, дислипидемии, сахарного диабета. Родителям важно помнить, что можно обратиться в поликлинику, пройти диспансеризацию и определить, имеется ли повышенный индекс массы тела у ребенка. Затем начинается совместная работа специалистов, а ожирение как фактор риска хронических неинфекционных заболеваний берется под контроль»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поделилась директор НМИЦ терапии и профилактической медицины, главный внештатный специалист </w:t>
        <w:br w:type="textWrapping"/>
        <w:t xml:space="preserve">по терапии и общей врачебной практике Минздрава России Оксана Драпкина.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июля Минздрав России и АНО «Национальные приоритеты» запускают платформу, направленную на популяризацию здорового питания и профилактику детского ожирения. Подростки не принимают ультимативные требования и авторитарные рекомендации. Именно поэтому, мы даём пищу для размышления и помогаем сделать игровой выбор и в результате понять, что правильное питание — это то, что формирует их настоящее и будущее. Выбор здорового питания поможет развиваться в профессии и достигать карьерных высот.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«По данным Росстата, наибольший рост заболеваемостью ожирением выражен в группе 15-17 лет. Врачи считают, что ожирение у 90% пациентов – это результат переедания и нездорового образа жизни. Мы решили найти связь между принципами здорового образа жизни и актуальным вопросом у подростков – «кем я хочу быть, когда вырасту?». Чтобы стать профессионалом своего дела, нужно не забывать следить за здоровьем. Правильное питание — это надежный фундамент, который дает силы, улучшает память, повышает настроение и не только. Подростки могут примерить на себя разные профессии на портале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национальныепроекты.рф/думайчтоешь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 получить рекомендации по питанию, которые помогут достигнуть успеха в карьере. Крепкое здоровье - приоритет национальных проектов России»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отметила генеральный директор АНО «Национальные приоритеты» София Малявина.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портале представлены профессии, которым современные школьники отдают наибольшее предпочтение: блогер, режиссер, врач, ученый, биотехнолог, разработчик игр и другие. Каждая профессия имеет свои особенности: для врача важно поддерживать иммунитет, режиссеру нужно быть усидчивым, а ученому необходимо упорство для новых открытий. «Прокачать» эти навыки помогает здоровое питание. Подростки узнают, какими свойствами обладают продукты, а также познакомятся с врачами, которые помогают справиться с лишним весом. Полученной информацией можно будет поделиться с родителями для последующей записи к нужному специалисту.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подростки на портале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национальныепроекты.рф/думайчтоешь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получат ЗОЖный стикерпак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от сообщества «Образ жизни» в мессенджере «Телеграм»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Справочно: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Реализация федерального проекта «Укрепление общественного здоровья»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национального проекта «Демография»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направлена на создание системы укрепления общественного здоровья которая подразумевает совершенствование мер, направленных </w:t>
        <w:br w:type="textWrapping"/>
        <w:t xml:space="preserve">на сокращение факторов риска смертности трудоспособного населения, включая формирование ответственного отношения к рациону питания.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</w:rPr>
        <mc:AlternateContent>
          <mc:Choice Requires="wpg">
            <w:drawing>
              <wp:inline distB="0" distT="0" distL="0" distR="0">
                <wp:extent cx="6052820" cy="1333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9575" y="3766750"/>
                          <a:ext cx="6052820" cy="13335"/>
                          <a:chOff x="2319575" y="3766750"/>
                          <a:chExt cx="6052850" cy="19325"/>
                        </a:xfrm>
                      </wpg:grpSpPr>
                      <wpg:grpSp>
                        <wpg:cNvGrpSpPr/>
                        <wpg:grpSpPr>
                          <a:xfrm>
                            <a:off x="2319590" y="3773333"/>
                            <a:ext cx="6052820" cy="12724"/>
                            <a:chOff x="0" y="0"/>
                            <a:chExt cx="60529" cy="1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529" cy="0"/>
                            </a:xfrm>
                            <a:custGeom>
                              <a:rect b="b" l="l" r="r" t="t"/>
                              <a:pathLst>
                                <a:path extrusionOk="0" h="120000" w="6052935">
                                  <a:moveTo>
                                    <a:pt x="0" y="0"/>
                                  </a:moveTo>
                                  <a:lnTo>
                                    <a:pt x="60529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125">
                              <a:solidFill>
                                <a:srgbClr val="00B0F0"/>
                              </a:solidFill>
                              <a:prstDash val="solid"/>
                              <a:miter lim="127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52820" cy="1333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2820" cy="13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Контакты АНО «Национальные приоритеты»: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Бондарь Александра, руководитель коммуникационного сопровождения национального проекта «Здравоохранение» АНО «Национальные приоритеты», 8 925 058-62-47</w:t>
      </w:r>
    </w:p>
    <w:p w:rsidR="00000000" w:rsidDel="00000000" w:rsidP="00000000" w:rsidRDefault="00000000" w:rsidRPr="00000000" w14:paraId="00000015">
      <w:pPr>
        <w:spacing w:after="480" w:line="220" w:lineRule="auto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b0f0"/>
        </w:rPr>
        <mc:AlternateContent>
          <mc:Choice Requires="wpg">
            <w:drawing>
              <wp:inline distB="0" distT="0" distL="0" distR="0">
                <wp:extent cx="6052820" cy="1333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9575" y="3766750"/>
                          <a:ext cx="6052820" cy="13335"/>
                          <a:chOff x="2319575" y="3766750"/>
                          <a:chExt cx="6052850" cy="19325"/>
                        </a:xfrm>
                      </wpg:grpSpPr>
                      <wpg:grpSp>
                        <wpg:cNvGrpSpPr/>
                        <wpg:grpSpPr>
                          <a:xfrm>
                            <a:off x="2319590" y="3773333"/>
                            <a:ext cx="6052820" cy="12724"/>
                            <a:chOff x="0" y="0"/>
                            <a:chExt cx="60529" cy="1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0529" cy="0"/>
                            </a:xfrm>
                            <a:custGeom>
                              <a:rect b="b" l="l" r="r" t="t"/>
                              <a:pathLst>
                                <a:path extrusionOk="0" h="120000" w="6052935">
                                  <a:moveTo>
                                    <a:pt x="0" y="0"/>
                                  </a:moveTo>
                                  <a:lnTo>
                                    <a:pt x="60529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125">
                              <a:solidFill>
                                <a:srgbClr val="00B0F0"/>
                              </a:solidFill>
                              <a:prstDash val="solid"/>
                              <a:miter lim="127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52820" cy="1333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2820" cy="13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6096000" cy="4572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02763" y="3556163"/>
                          <a:ext cx="6086475" cy="4476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6096000" cy="4572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271" w:line="218" w:lineRule="auto"/>
        <w:ind w:left="25" w:right="62" w:firstLine="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! В материале обязательно упоминать национальный проект «Демография»!</w:t>
      </w:r>
    </w:p>
    <w:sectPr>
      <w:headerReference r:id="rId12" w:type="default"/>
      <w:pgSz w:h="16838" w:w="11906" w:orient="portrait"/>
      <w:pgMar w:bottom="1134" w:top="1418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4705350</wp:posOffset>
          </wp:positionH>
          <wp:positionV relativeFrom="paragraph">
            <wp:posOffset>-86358</wp:posOffset>
          </wp:positionV>
          <wp:extent cx="1608455" cy="35242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hyperlink" Target="https://t.me/rflifestyl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